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色彩课程大纲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课程性质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本课程以学生在美术统考中色彩如何取得高分为目的，把规律跟应试相结合，手头训练与理论知识相结合的实用型课程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课程目标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把基本的美术理论知识精细讲解充实学生绘画时的思路，边训练边讲解已达到融会贯通的目的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课程内容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色彩基础理论知识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色相环、色彩的四要素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色彩静物的构图与变化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构图形式、构图规律、构图的美感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色彩静物的色调组织和色稿训练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色调的统一性和色彩的丰富性  用笔的规律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色彩静物单个物体的塑造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球体柱体方体、三大面五大调子、光源色和环境色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色彩静物画面完整度训练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视觉中心塑造、画面主次关系、点线面的运用</w:t>
      </w:r>
    </w:p>
    <w:p>
      <w:pPr>
        <w:numPr>
          <w:ilvl w:val="0"/>
          <w:numId w:val="0"/>
        </w:numPr>
        <w:ind w:firstLine="400" w:firstLineChars="200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色彩风景的构图与透视规律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风景透视规律、构图法则</w:t>
      </w:r>
    </w:p>
    <w:p>
      <w:pPr>
        <w:numPr>
          <w:ilvl w:val="0"/>
          <w:numId w:val="0"/>
        </w:numPr>
        <w:ind w:firstLine="400" w:firstLineChars="200"/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色彩风景的色调组织和色稿训练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风景的冷暖色调的归纳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色彩风景的完整稿训练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中景的视觉中心塑造、用笔的张力</w:t>
      </w:r>
    </w:p>
    <w:p>
      <w:pPr>
        <w:numPr>
          <w:ilvl w:val="0"/>
          <w:numId w:val="0"/>
        </w:numPr>
        <w:ind w:firstLine="400" w:firstLineChars="200"/>
        <w:rPr>
          <w:rFonts w:hint="eastAsia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教学建议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课程多在画室内完成，先用板书讲解后在示范中逐个课程带入，个别课程需反复示范重点讲解，细化拆分后再统一讲解重点在于学生在画画过程中深入理解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教学建议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课件、示范、电教、评画、改画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>
      <w:pPr>
        <w:ind w:firstLine="3240" w:firstLineChars="900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A0362"/>
    <w:multiLevelType w:val="singleLevel"/>
    <w:tmpl w:val="FBEA036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31C231AE"/>
    <w:multiLevelType w:val="singleLevel"/>
    <w:tmpl w:val="31C231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DE1ODczZmJhNDVlNmNkYzRhOGFiMmVjMmVhNjYifQ=="/>
  </w:docVars>
  <w:rsids>
    <w:rsidRoot w:val="00000000"/>
    <w:rsid w:val="16A26F13"/>
    <w:rsid w:val="20CA0424"/>
    <w:rsid w:val="603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2024-02-28T16:14:00Z</dcterms:created>
  <dc:creator>fulingling</dc:creator>
  <cp:lastModifiedBy>六安美術學校鮑遠兵</cp:lastModifiedBy>
  <dcterms:modified xsi:type="dcterms:W3CDTF">2024-02-29T07:33:36Z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4F50AE32F2604E0A8B0395EDAEC41F77_12</vt:lpwstr>
  </property>
</Properties>
</file>